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A0" w:rsidRPr="001404E0" w:rsidRDefault="00C86FCF" w:rsidP="001E0BAC">
      <w:pPr>
        <w:pStyle w:val="a3"/>
        <w:numPr>
          <w:ilvl w:val="0"/>
          <w:numId w:val="3"/>
        </w:numPr>
        <w:spacing w:line="480" w:lineRule="auto"/>
        <w:rPr>
          <w:rFonts w:ascii="Times New Roman" w:hAnsi="Times New Roman" w:cs="Times New Roman"/>
          <w:b/>
          <w:i/>
          <w:sz w:val="28"/>
          <w:szCs w:val="28"/>
          <w:lang w:val="en-US"/>
        </w:rPr>
      </w:pPr>
      <w:r w:rsidRPr="001404E0">
        <w:rPr>
          <w:rFonts w:ascii="Times New Roman" w:hAnsi="Times New Roman" w:cs="Times New Roman"/>
          <w:b/>
          <w:i/>
          <w:sz w:val="28"/>
          <w:szCs w:val="28"/>
          <w:lang w:val="en-US"/>
        </w:rPr>
        <w:t>Render the text in Kazakh or Russian in a written form</w:t>
      </w:r>
      <w:r w:rsidR="001404E0" w:rsidRPr="001404E0">
        <w:rPr>
          <w:rFonts w:ascii="Times New Roman" w:hAnsi="Times New Roman" w:cs="Times New Roman"/>
          <w:b/>
          <w:i/>
          <w:sz w:val="28"/>
          <w:szCs w:val="28"/>
          <w:lang w:val="en-US"/>
        </w:rPr>
        <w:t xml:space="preserve"> (40%)</w:t>
      </w:r>
    </w:p>
    <w:p w:rsidR="004149A0" w:rsidRPr="001404E0" w:rsidRDefault="00C86FCF" w:rsidP="001E0BAC">
      <w:pPr>
        <w:pStyle w:val="a3"/>
        <w:numPr>
          <w:ilvl w:val="0"/>
          <w:numId w:val="3"/>
        </w:numPr>
        <w:spacing w:line="480" w:lineRule="auto"/>
        <w:rPr>
          <w:rFonts w:ascii="Times New Roman" w:hAnsi="Times New Roman" w:cs="Times New Roman"/>
          <w:b/>
          <w:i/>
          <w:sz w:val="28"/>
          <w:szCs w:val="28"/>
          <w:lang w:val="en-US"/>
        </w:rPr>
      </w:pPr>
      <w:r w:rsidRPr="001404E0">
        <w:rPr>
          <w:rFonts w:ascii="Times New Roman" w:hAnsi="Times New Roman" w:cs="Times New Roman"/>
          <w:b/>
          <w:i/>
          <w:sz w:val="28"/>
          <w:szCs w:val="28"/>
          <w:lang w:val="en-US"/>
        </w:rPr>
        <w:t>Ask 10 questions about t</w:t>
      </w:r>
      <w:r w:rsidR="004149A0" w:rsidRPr="001404E0">
        <w:rPr>
          <w:rFonts w:ascii="Times New Roman" w:hAnsi="Times New Roman" w:cs="Times New Roman"/>
          <w:b/>
          <w:i/>
          <w:sz w:val="28"/>
          <w:szCs w:val="28"/>
          <w:lang w:val="en-US"/>
        </w:rPr>
        <w:t>he tex</w:t>
      </w:r>
      <w:r w:rsidR="001404E0" w:rsidRPr="001404E0">
        <w:rPr>
          <w:rFonts w:ascii="Times New Roman" w:hAnsi="Times New Roman" w:cs="Times New Roman"/>
          <w:b/>
          <w:i/>
          <w:sz w:val="28"/>
          <w:szCs w:val="28"/>
          <w:lang w:val="en-US"/>
        </w:rPr>
        <w:t>t (30%)</w:t>
      </w:r>
    </w:p>
    <w:p w:rsidR="00C86FCF" w:rsidRPr="001404E0" w:rsidRDefault="004149A0" w:rsidP="001E0BAC">
      <w:pPr>
        <w:pStyle w:val="a3"/>
        <w:numPr>
          <w:ilvl w:val="0"/>
          <w:numId w:val="3"/>
        </w:numPr>
        <w:spacing w:line="480" w:lineRule="auto"/>
        <w:rPr>
          <w:rFonts w:ascii="Times New Roman" w:hAnsi="Times New Roman" w:cs="Times New Roman"/>
          <w:b/>
          <w:i/>
          <w:sz w:val="28"/>
          <w:szCs w:val="28"/>
          <w:lang w:val="en-US"/>
        </w:rPr>
      </w:pPr>
      <w:r w:rsidRPr="001404E0">
        <w:rPr>
          <w:rFonts w:ascii="Times New Roman" w:hAnsi="Times New Roman" w:cs="Times New Roman"/>
          <w:b/>
          <w:i/>
          <w:sz w:val="28"/>
          <w:szCs w:val="28"/>
          <w:lang w:val="en-US"/>
        </w:rPr>
        <w:t xml:space="preserve">Write on the topic: </w:t>
      </w:r>
      <w:r w:rsidR="001404E0" w:rsidRPr="001404E0">
        <w:rPr>
          <w:rFonts w:ascii="Times New Roman" w:hAnsi="Times New Roman" w:cs="Times New Roman"/>
          <w:b/>
          <w:i/>
          <w:sz w:val="28"/>
          <w:szCs w:val="28"/>
          <w:lang w:val="en-US"/>
        </w:rPr>
        <w:t>My special</w:t>
      </w:r>
      <w:r w:rsidR="00C86FCF" w:rsidRPr="001404E0">
        <w:rPr>
          <w:rFonts w:ascii="Times New Roman" w:hAnsi="Times New Roman" w:cs="Times New Roman"/>
          <w:b/>
          <w:i/>
          <w:sz w:val="28"/>
          <w:szCs w:val="28"/>
          <w:lang w:val="en-US"/>
        </w:rPr>
        <w:t>ty</w:t>
      </w:r>
      <w:r w:rsidR="001404E0" w:rsidRPr="001404E0">
        <w:rPr>
          <w:rFonts w:ascii="Times New Roman" w:hAnsi="Times New Roman" w:cs="Times New Roman"/>
          <w:b/>
          <w:i/>
          <w:sz w:val="28"/>
          <w:szCs w:val="28"/>
          <w:lang w:val="en-US"/>
        </w:rPr>
        <w:t xml:space="preserve"> (30%)</w:t>
      </w:r>
      <w:bookmarkStart w:id="0" w:name="_GoBack"/>
      <w:bookmarkEnd w:id="0"/>
    </w:p>
    <w:p w:rsidR="001404E0" w:rsidRDefault="001404E0" w:rsidP="001404E0">
      <w:pPr>
        <w:jc w:val="both"/>
        <w:rPr>
          <w:rFonts w:ascii="Times New Roman" w:hAnsi="Times New Roman" w:cs="Times New Roman"/>
          <w:sz w:val="28"/>
          <w:szCs w:val="28"/>
          <w:lang w:val="en-US"/>
        </w:rPr>
      </w:pPr>
      <w:r w:rsidRPr="002D17E1">
        <w:rPr>
          <w:rFonts w:ascii="Times New Roman" w:hAnsi="Times New Roman" w:cs="Times New Roman"/>
          <w:sz w:val="28"/>
          <w:szCs w:val="28"/>
          <w:lang w:val="en-US"/>
        </w:rPr>
        <w:t>Islamic </w:t>
      </w:r>
      <w:hyperlink r:id="rId6" w:history="1">
        <w:r w:rsidRPr="002D17E1">
          <w:rPr>
            <w:rStyle w:val="a4"/>
            <w:rFonts w:ascii="Times New Roman" w:hAnsi="Times New Roman" w:cs="Times New Roman"/>
            <w:sz w:val="28"/>
            <w:szCs w:val="28"/>
            <w:lang w:val="en-US"/>
          </w:rPr>
          <w:t>theology</w:t>
        </w:r>
      </w:hyperlink>
      <w:r w:rsidRPr="002D17E1">
        <w:rPr>
          <w:rFonts w:ascii="Times New Roman" w:hAnsi="Times New Roman" w:cs="Times New Roman"/>
          <w:sz w:val="28"/>
          <w:szCs w:val="28"/>
          <w:lang w:val="en-US"/>
        </w:rPr>
        <w:t> (</w:t>
      </w:r>
      <w:proofErr w:type="spellStart"/>
      <w:r w:rsidRPr="002D17E1">
        <w:rPr>
          <w:rFonts w:ascii="Times New Roman" w:hAnsi="Times New Roman" w:cs="Times New Roman"/>
          <w:i/>
          <w:iCs/>
          <w:sz w:val="28"/>
          <w:szCs w:val="28"/>
        </w:rPr>
        <w:fldChar w:fldCharType="begin"/>
      </w:r>
      <w:r w:rsidRPr="002D17E1">
        <w:rPr>
          <w:rFonts w:ascii="Times New Roman" w:hAnsi="Times New Roman" w:cs="Times New Roman"/>
          <w:i/>
          <w:iCs/>
          <w:sz w:val="28"/>
          <w:szCs w:val="28"/>
          <w:lang w:val="en-US"/>
        </w:rPr>
        <w:instrText xml:space="preserve"> HYPERLINK "https://www.britannica.com/topic/kalam-Islam" </w:instrText>
      </w:r>
      <w:r w:rsidRPr="002D17E1">
        <w:rPr>
          <w:rFonts w:ascii="Times New Roman" w:hAnsi="Times New Roman" w:cs="Times New Roman"/>
          <w:i/>
          <w:iCs/>
          <w:sz w:val="28"/>
          <w:szCs w:val="28"/>
        </w:rPr>
        <w:fldChar w:fldCharType="separate"/>
      </w:r>
      <w:r w:rsidRPr="002D17E1">
        <w:rPr>
          <w:rStyle w:val="a4"/>
          <w:rFonts w:ascii="Times New Roman" w:hAnsi="Times New Roman" w:cs="Times New Roman"/>
          <w:i/>
          <w:iCs/>
          <w:sz w:val="28"/>
          <w:szCs w:val="28"/>
          <w:lang w:val="en-US"/>
        </w:rPr>
        <w:t>kalām</w:t>
      </w:r>
      <w:proofErr w:type="spellEnd"/>
      <w:r w:rsidRPr="002D17E1">
        <w:rPr>
          <w:rFonts w:ascii="Times New Roman" w:hAnsi="Times New Roman" w:cs="Times New Roman"/>
          <w:sz w:val="28"/>
          <w:szCs w:val="28"/>
          <w:lang w:val="en-US"/>
        </w:rPr>
        <w:fldChar w:fldCharType="end"/>
      </w:r>
      <w:r w:rsidRPr="002D17E1">
        <w:rPr>
          <w:rFonts w:ascii="Times New Roman" w:hAnsi="Times New Roman" w:cs="Times New Roman"/>
          <w:sz w:val="28"/>
          <w:szCs w:val="28"/>
          <w:lang w:val="en-US"/>
        </w:rPr>
        <w:t>) and philosophy (</w:t>
      </w:r>
      <w:proofErr w:type="spellStart"/>
      <w:r w:rsidRPr="002D17E1">
        <w:rPr>
          <w:rFonts w:ascii="Times New Roman" w:hAnsi="Times New Roman" w:cs="Times New Roman"/>
          <w:i/>
          <w:iCs/>
          <w:sz w:val="28"/>
          <w:szCs w:val="28"/>
          <w:lang w:val="en-US"/>
        </w:rPr>
        <w:t>falsafah</w:t>
      </w:r>
      <w:proofErr w:type="spellEnd"/>
      <w:r w:rsidRPr="002D17E1">
        <w:rPr>
          <w:rFonts w:ascii="Times New Roman" w:hAnsi="Times New Roman" w:cs="Times New Roman"/>
          <w:sz w:val="28"/>
          <w:szCs w:val="28"/>
          <w:lang w:val="en-US"/>
        </w:rPr>
        <w:t>) are two traditions of learning developed by Muslim thinkers who were engaged, on the one hand, in the rational clarification and defense of the principles of the Islamic </w:t>
      </w:r>
      <w:hyperlink r:id="rId7" w:history="1">
        <w:r w:rsidRPr="002D17E1">
          <w:rPr>
            <w:rStyle w:val="a4"/>
            <w:rFonts w:ascii="Times New Roman" w:hAnsi="Times New Roman" w:cs="Times New Roman"/>
            <w:sz w:val="28"/>
            <w:szCs w:val="28"/>
            <w:lang w:val="en-US"/>
          </w:rPr>
          <w:t>religion</w:t>
        </w:r>
      </w:hyperlink>
      <w:r w:rsidRPr="002D17E1">
        <w:rPr>
          <w:rFonts w:ascii="Times New Roman" w:hAnsi="Times New Roman" w:cs="Times New Roman"/>
          <w:sz w:val="28"/>
          <w:szCs w:val="28"/>
          <w:lang w:val="en-US"/>
        </w:rPr>
        <w:t> (</w:t>
      </w:r>
      <w:proofErr w:type="spellStart"/>
      <w:r w:rsidRPr="002D17E1">
        <w:rPr>
          <w:rFonts w:ascii="Times New Roman" w:hAnsi="Times New Roman" w:cs="Times New Roman"/>
          <w:i/>
          <w:iCs/>
          <w:sz w:val="28"/>
          <w:szCs w:val="28"/>
          <w:lang w:val="en-US"/>
        </w:rPr>
        <w:t>mutakallimūn</w:t>
      </w:r>
      <w:proofErr w:type="spellEnd"/>
      <w:r w:rsidRPr="002D17E1">
        <w:rPr>
          <w:rFonts w:ascii="Times New Roman" w:hAnsi="Times New Roman" w:cs="Times New Roman"/>
          <w:sz w:val="28"/>
          <w:szCs w:val="28"/>
          <w:lang w:val="en-US"/>
        </w:rPr>
        <w:t>) and, on the other, in the pursuit of the ancient (Greek and Hellenistic, or Greco-Roman) sciences (</w:t>
      </w:r>
      <w:proofErr w:type="spellStart"/>
      <w:r w:rsidRPr="002D17E1">
        <w:rPr>
          <w:rFonts w:ascii="Times New Roman" w:hAnsi="Times New Roman" w:cs="Times New Roman"/>
          <w:i/>
          <w:iCs/>
          <w:sz w:val="28"/>
          <w:szCs w:val="28"/>
          <w:lang w:val="en-US"/>
        </w:rPr>
        <w:t>falāsifah</w:t>
      </w:r>
      <w:proofErr w:type="spellEnd"/>
      <w:r w:rsidRPr="002D17E1">
        <w:rPr>
          <w:rFonts w:ascii="Times New Roman" w:hAnsi="Times New Roman" w:cs="Times New Roman"/>
          <w:sz w:val="28"/>
          <w:szCs w:val="28"/>
          <w:lang w:val="en-US"/>
        </w:rPr>
        <w:t>). These thinkers took a position that was intermediate between the traditionalists, who remained attached to the literal expressions of the primary sources of Islamic </w:t>
      </w:r>
      <w:hyperlink r:id="rId8" w:history="1">
        <w:r w:rsidRPr="002D17E1">
          <w:rPr>
            <w:rStyle w:val="a4"/>
            <w:rFonts w:ascii="Times New Roman" w:hAnsi="Times New Roman" w:cs="Times New Roman"/>
            <w:sz w:val="28"/>
            <w:szCs w:val="28"/>
            <w:lang w:val="en-US"/>
          </w:rPr>
          <w:t>doctrines</w:t>
        </w:r>
      </w:hyperlink>
      <w:r w:rsidRPr="002D17E1">
        <w:rPr>
          <w:rFonts w:ascii="Times New Roman" w:hAnsi="Times New Roman" w:cs="Times New Roman"/>
          <w:sz w:val="28"/>
          <w:szCs w:val="28"/>
          <w:lang w:val="en-US"/>
        </w:rPr>
        <w:t> (the </w:t>
      </w:r>
      <w:proofErr w:type="spellStart"/>
      <w:r w:rsidRPr="002D17E1">
        <w:rPr>
          <w:rFonts w:ascii="Times New Roman" w:hAnsi="Times New Roman" w:cs="Times New Roman"/>
          <w:sz w:val="28"/>
          <w:szCs w:val="28"/>
        </w:rPr>
        <w:fldChar w:fldCharType="begin"/>
      </w:r>
      <w:r w:rsidRPr="002D17E1">
        <w:rPr>
          <w:rFonts w:ascii="Times New Roman" w:hAnsi="Times New Roman" w:cs="Times New Roman"/>
          <w:sz w:val="28"/>
          <w:szCs w:val="28"/>
          <w:lang w:val="en-US"/>
        </w:rPr>
        <w:instrText xml:space="preserve"> HYPERLINK "https://www.britannica.com/topic/Quran" </w:instrText>
      </w:r>
      <w:r w:rsidRPr="002D17E1">
        <w:rPr>
          <w:rFonts w:ascii="Times New Roman" w:hAnsi="Times New Roman" w:cs="Times New Roman"/>
          <w:sz w:val="28"/>
          <w:szCs w:val="28"/>
        </w:rPr>
        <w:fldChar w:fldCharType="separate"/>
      </w:r>
      <w:r w:rsidRPr="002D17E1">
        <w:rPr>
          <w:rStyle w:val="a4"/>
          <w:rFonts w:ascii="Times New Roman" w:hAnsi="Times New Roman" w:cs="Times New Roman"/>
          <w:sz w:val="28"/>
          <w:szCs w:val="28"/>
          <w:lang w:val="en-US"/>
        </w:rPr>
        <w:t>Qurʾān</w:t>
      </w:r>
      <w:proofErr w:type="spellEnd"/>
      <w:r w:rsidRPr="002D17E1">
        <w:rPr>
          <w:rFonts w:ascii="Times New Roman" w:hAnsi="Times New Roman" w:cs="Times New Roman"/>
          <w:sz w:val="28"/>
          <w:szCs w:val="28"/>
          <w:lang w:val="en-US"/>
        </w:rPr>
        <w:fldChar w:fldCharType="end"/>
      </w:r>
      <w:r w:rsidRPr="002D17E1">
        <w:rPr>
          <w:rFonts w:ascii="Times New Roman" w:hAnsi="Times New Roman" w:cs="Times New Roman"/>
          <w:sz w:val="28"/>
          <w:szCs w:val="28"/>
          <w:lang w:val="en-US"/>
        </w:rPr>
        <w:t>, Islamic scripture; and the </w:t>
      </w:r>
      <w:hyperlink r:id="rId9" w:history="1">
        <w:r w:rsidRPr="002D17E1">
          <w:rPr>
            <w:rStyle w:val="a4"/>
            <w:rFonts w:ascii="Times New Roman" w:hAnsi="Times New Roman" w:cs="Times New Roman"/>
            <w:sz w:val="28"/>
            <w:szCs w:val="28"/>
            <w:lang w:val="en-US"/>
          </w:rPr>
          <w:t>Hadith</w:t>
        </w:r>
      </w:hyperlink>
      <w:r w:rsidRPr="002D17E1">
        <w:rPr>
          <w:rFonts w:ascii="Times New Roman" w:hAnsi="Times New Roman" w:cs="Times New Roman"/>
          <w:sz w:val="28"/>
          <w:szCs w:val="28"/>
          <w:lang w:val="en-US"/>
        </w:rPr>
        <w:t>, sayings and traditions of the Prophet </w:t>
      </w:r>
      <w:hyperlink r:id="rId10" w:history="1">
        <w:r w:rsidRPr="002D17E1">
          <w:rPr>
            <w:rStyle w:val="a4"/>
            <w:rFonts w:ascii="Times New Roman" w:hAnsi="Times New Roman" w:cs="Times New Roman"/>
            <w:sz w:val="28"/>
            <w:szCs w:val="28"/>
            <w:lang w:val="en-US"/>
          </w:rPr>
          <w:t>Muhammad</w:t>
        </w:r>
      </w:hyperlink>
      <w:r w:rsidRPr="002D17E1">
        <w:rPr>
          <w:rFonts w:ascii="Times New Roman" w:hAnsi="Times New Roman" w:cs="Times New Roman"/>
          <w:sz w:val="28"/>
          <w:szCs w:val="28"/>
          <w:lang w:val="en-US"/>
        </w:rPr>
        <w:t>) and who </w:t>
      </w:r>
      <w:hyperlink r:id="rId11" w:history="1">
        <w:r w:rsidRPr="002D17E1">
          <w:rPr>
            <w:rStyle w:val="a4"/>
            <w:rFonts w:ascii="Times New Roman" w:hAnsi="Times New Roman" w:cs="Times New Roman"/>
            <w:sz w:val="28"/>
            <w:szCs w:val="28"/>
            <w:lang w:val="en-US"/>
          </w:rPr>
          <w:t>abhorred</w:t>
        </w:r>
      </w:hyperlink>
      <w:r w:rsidRPr="002D17E1">
        <w:rPr>
          <w:rFonts w:ascii="Times New Roman" w:hAnsi="Times New Roman" w:cs="Times New Roman"/>
          <w:sz w:val="28"/>
          <w:szCs w:val="28"/>
          <w:lang w:val="en-US"/>
        </w:rPr>
        <w:t> reasoning, and those whose reasoning led them to abandon the Islamic </w:t>
      </w:r>
      <w:hyperlink r:id="rId12" w:history="1">
        <w:r w:rsidRPr="002D17E1">
          <w:rPr>
            <w:rStyle w:val="a4"/>
            <w:rFonts w:ascii="Times New Roman" w:hAnsi="Times New Roman" w:cs="Times New Roman"/>
            <w:sz w:val="28"/>
            <w:szCs w:val="28"/>
            <w:lang w:val="en-US"/>
          </w:rPr>
          <w:t>community</w:t>
        </w:r>
      </w:hyperlink>
      <w:r w:rsidRPr="002D17E1">
        <w:rPr>
          <w:rFonts w:ascii="Times New Roman" w:hAnsi="Times New Roman" w:cs="Times New Roman"/>
          <w:sz w:val="28"/>
          <w:szCs w:val="28"/>
          <w:lang w:val="en-US"/>
        </w:rPr>
        <w:t> (the </w:t>
      </w:r>
      <w:proofErr w:type="spellStart"/>
      <w:r w:rsidRPr="002D17E1">
        <w:rPr>
          <w:rFonts w:ascii="Times New Roman" w:hAnsi="Times New Roman" w:cs="Times New Roman"/>
          <w:i/>
          <w:iCs/>
          <w:sz w:val="28"/>
          <w:szCs w:val="28"/>
          <w:lang w:val="en-US"/>
        </w:rPr>
        <w:t>ummah</w:t>
      </w:r>
      <w:proofErr w:type="spellEnd"/>
      <w:r w:rsidRPr="002D17E1">
        <w:rPr>
          <w:rFonts w:ascii="Times New Roman" w:hAnsi="Times New Roman" w:cs="Times New Roman"/>
          <w:sz w:val="28"/>
          <w:szCs w:val="28"/>
          <w:lang w:val="en-US"/>
        </w:rPr>
        <w:t>) altogether. The status of the believer in Islam remained in practice a juridical question, not a matter for theologians or philosophers to decide. Except in regard to the fundamental questions of the existence of God, Islamic </w:t>
      </w:r>
      <w:r w:rsidR="001E0BAC">
        <w:fldChar w:fldCharType="begin"/>
      </w:r>
      <w:r w:rsidR="001E0BAC" w:rsidRPr="001E0BAC">
        <w:rPr>
          <w:lang w:val="en-US"/>
        </w:rPr>
        <w:instrText xml:space="preserve"> HYPERLINK "https://www.britannica.com/topic/revelation" </w:instrText>
      </w:r>
      <w:r w:rsidR="001E0BAC">
        <w:fldChar w:fldCharType="separate"/>
      </w:r>
      <w:r w:rsidRPr="002D17E1">
        <w:rPr>
          <w:rStyle w:val="a4"/>
          <w:rFonts w:ascii="Times New Roman" w:hAnsi="Times New Roman" w:cs="Times New Roman"/>
          <w:sz w:val="28"/>
          <w:szCs w:val="28"/>
          <w:lang w:val="en-US"/>
        </w:rPr>
        <w:t>revelation</w:t>
      </w:r>
      <w:r w:rsidR="001E0BAC">
        <w:rPr>
          <w:rStyle w:val="a4"/>
          <w:rFonts w:ascii="Times New Roman" w:hAnsi="Times New Roman" w:cs="Times New Roman"/>
          <w:sz w:val="28"/>
          <w:szCs w:val="28"/>
          <w:lang w:val="en-US"/>
        </w:rPr>
        <w:fldChar w:fldCharType="end"/>
      </w:r>
      <w:r w:rsidRPr="002D17E1">
        <w:rPr>
          <w:rFonts w:ascii="Times New Roman" w:hAnsi="Times New Roman" w:cs="Times New Roman"/>
          <w:sz w:val="28"/>
          <w:szCs w:val="28"/>
          <w:lang w:val="en-US"/>
        </w:rPr>
        <w:t xml:space="preserve">, and future reward and punishment, the juridical conditions for declaring someone an unbeliever or beyond the pale of Islam were so demanding as to make it almost impossible to make a valid declaration of this sort about a professing Muslim. In the course of events in Islamic history, representatives of certain theological movements, who happened to be jurists and who succeeded in converting rulers to their cause, made those rulers declare in </w:t>
      </w:r>
      <w:proofErr w:type="spellStart"/>
      <w:r w:rsidRPr="002D17E1">
        <w:rPr>
          <w:rFonts w:ascii="Times New Roman" w:hAnsi="Times New Roman" w:cs="Times New Roman"/>
          <w:sz w:val="28"/>
          <w:szCs w:val="28"/>
          <w:lang w:val="en-US"/>
        </w:rPr>
        <w:t>favour</w:t>
      </w:r>
      <w:proofErr w:type="spellEnd"/>
      <w:r w:rsidRPr="002D17E1">
        <w:rPr>
          <w:rFonts w:ascii="Times New Roman" w:hAnsi="Times New Roman" w:cs="Times New Roman"/>
          <w:sz w:val="28"/>
          <w:szCs w:val="28"/>
          <w:lang w:val="en-US"/>
        </w:rPr>
        <w:t xml:space="preserve"> of their movements and even encouraged them to persecute their opponents. Thus there arose in some localities and periods a semblance of an official, or </w:t>
      </w:r>
      <w:hyperlink r:id="rId13" w:history="1">
        <w:r w:rsidRPr="002D17E1">
          <w:rPr>
            <w:rStyle w:val="a4"/>
            <w:rFonts w:ascii="Times New Roman" w:hAnsi="Times New Roman" w:cs="Times New Roman"/>
            <w:sz w:val="28"/>
            <w:szCs w:val="28"/>
            <w:lang w:val="en-US"/>
          </w:rPr>
          <w:t>orthodox</w:t>
        </w:r>
      </w:hyperlink>
      <w:r w:rsidRPr="002D17E1">
        <w:rPr>
          <w:rFonts w:ascii="Times New Roman" w:hAnsi="Times New Roman" w:cs="Times New Roman"/>
          <w:sz w:val="28"/>
          <w:szCs w:val="28"/>
          <w:lang w:val="en-US"/>
        </w:rPr>
        <w:t>, doctrine.</w:t>
      </w:r>
    </w:p>
    <w:p w:rsidR="004149A0" w:rsidRDefault="004149A0" w:rsidP="004149A0">
      <w:pPr>
        <w:rPr>
          <w:lang w:val="en-US"/>
        </w:rPr>
      </w:pPr>
    </w:p>
    <w:p w:rsidR="004149A0" w:rsidRDefault="004149A0" w:rsidP="004149A0">
      <w:pPr>
        <w:rPr>
          <w:lang w:val="en-US"/>
        </w:rPr>
      </w:pPr>
    </w:p>
    <w:p w:rsidR="004149A0" w:rsidRDefault="004149A0" w:rsidP="004149A0">
      <w:pPr>
        <w:rPr>
          <w:lang w:val="en-US"/>
        </w:rPr>
      </w:pPr>
    </w:p>
    <w:p w:rsidR="004149A0" w:rsidRDefault="004149A0" w:rsidP="004149A0">
      <w:pPr>
        <w:rPr>
          <w:lang w:val="en-US"/>
        </w:rPr>
      </w:pPr>
    </w:p>
    <w:p w:rsidR="004149A0" w:rsidRPr="001E0BAC" w:rsidRDefault="004149A0" w:rsidP="00C86FCF">
      <w:pPr>
        <w:rPr>
          <w:lang w:val="en-US"/>
        </w:rPr>
      </w:pPr>
    </w:p>
    <w:p w:rsidR="00C86FCF" w:rsidRPr="00C86FCF" w:rsidRDefault="00C86FCF" w:rsidP="00C86FCF">
      <w:pPr>
        <w:rPr>
          <w:lang w:val="en-US"/>
        </w:rPr>
      </w:pPr>
    </w:p>
    <w:sectPr w:rsidR="00C86FCF" w:rsidRPr="00C86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580"/>
    <w:multiLevelType w:val="hybridMultilevel"/>
    <w:tmpl w:val="33082B40"/>
    <w:lvl w:ilvl="0" w:tplc="931C1D68">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276754"/>
    <w:multiLevelType w:val="hybridMultilevel"/>
    <w:tmpl w:val="43543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540171"/>
    <w:multiLevelType w:val="hybridMultilevel"/>
    <w:tmpl w:val="02EEC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3540E0"/>
    <w:multiLevelType w:val="hybridMultilevel"/>
    <w:tmpl w:val="693A4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584"/>
    <w:rsid w:val="001404E0"/>
    <w:rsid w:val="001E0BAC"/>
    <w:rsid w:val="00354584"/>
    <w:rsid w:val="004149A0"/>
    <w:rsid w:val="00C86FCF"/>
    <w:rsid w:val="00E61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FCF"/>
    <w:pPr>
      <w:ind w:left="720"/>
      <w:contextualSpacing/>
    </w:pPr>
  </w:style>
  <w:style w:type="character" w:styleId="a4">
    <w:name w:val="Hyperlink"/>
    <w:basedOn w:val="a0"/>
    <w:uiPriority w:val="99"/>
    <w:unhideWhenUsed/>
    <w:rsid w:val="001404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FCF"/>
    <w:pPr>
      <w:ind w:left="720"/>
      <w:contextualSpacing/>
    </w:pPr>
  </w:style>
  <w:style w:type="character" w:styleId="a4">
    <w:name w:val="Hyperlink"/>
    <w:basedOn w:val="a0"/>
    <w:uiPriority w:val="99"/>
    <w:unhideWhenUsed/>
    <w:rsid w:val="001404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doctrine" TargetMode="External"/><Relationship Id="rId13" Type="http://schemas.openxmlformats.org/officeDocument/2006/relationships/hyperlink" Target="https://www.britannica.com/topic/orthodox" TargetMode="External"/><Relationship Id="rId3" Type="http://schemas.microsoft.com/office/2007/relationships/stylesWithEffects" Target="stylesWithEffects.xml"/><Relationship Id="rId7" Type="http://schemas.openxmlformats.org/officeDocument/2006/relationships/hyperlink" Target="https://www.britannica.com/topic/religion" TargetMode="External"/><Relationship Id="rId12" Type="http://schemas.openxmlformats.org/officeDocument/2006/relationships/hyperlink" Target="https://www.merriam-webster.com/dictionary/commun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annica.com/topic/theology" TargetMode="External"/><Relationship Id="rId11" Type="http://schemas.openxmlformats.org/officeDocument/2006/relationships/hyperlink" Target="https://www.merriam-webster.com/dictionary/abhorr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ritannica.com/biography/Muhammad" TargetMode="External"/><Relationship Id="rId4" Type="http://schemas.openxmlformats.org/officeDocument/2006/relationships/settings" Target="settings.xml"/><Relationship Id="rId9" Type="http://schemas.openxmlformats.org/officeDocument/2006/relationships/hyperlink" Target="https://www.britannica.com/topic/Hadit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359</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4</cp:revision>
  <dcterms:created xsi:type="dcterms:W3CDTF">2020-04-04T14:07:00Z</dcterms:created>
  <dcterms:modified xsi:type="dcterms:W3CDTF">2020-04-04T14:36:00Z</dcterms:modified>
</cp:coreProperties>
</file>